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77B" w:rsidRPr="00E557F4" w:rsidRDefault="00E557F4" w:rsidP="00E557F4">
      <w:pPr>
        <w:spacing w:line="360" w:lineRule="auto"/>
        <w:jc w:val="center"/>
        <w:rPr>
          <w:rFonts w:ascii="Trebuchet MS" w:hAnsi="Trebuchet MS"/>
          <w:b/>
          <w:bCs/>
          <w:sz w:val="28"/>
          <w:szCs w:val="28"/>
        </w:rPr>
      </w:pPr>
      <w:r w:rsidRPr="00E557F4">
        <w:rPr>
          <w:rFonts w:ascii="Trebuchet MS" w:hAnsi="Trebuchet MS"/>
          <w:b/>
          <w:bCs/>
          <w:sz w:val="28"/>
          <w:szCs w:val="28"/>
        </w:rPr>
        <w:t>EDITABLE POLICY HANDBOOK</w:t>
      </w:r>
    </w:p>
    <w:p w:rsidR="002F477B" w:rsidRPr="00E557F4" w:rsidRDefault="00E557F4" w:rsidP="00E557F4">
      <w:pPr>
        <w:spacing w:line="360" w:lineRule="auto"/>
        <w:jc w:val="both"/>
        <w:rPr>
          <w:rFonts w:ascii="Trebuchet MS" w:hAnsi="Trebuchet MS"/>
          <w:bCs/>
          <w:i/>
          <w:iCs/>
          <w:sz w:val="24"/>
          <w:szCs w:val="24"/>
        </w:rPr>
      </w:pPr>
      <w:r w:rsidRPr="00E557F4">
        <w:rPr>
          <w:rFonts w:ascii="Trebuchet MS" w:hAnsi="Trebuchet MS"/>
          <w:bCs/>
          <w:i/>
          <w:iCs/>
          <w:sz w:val="24"/>
          <w:szCs w:val="24"/>
        </w:rPr>
        <w:t>This Editable Policy Handbook is designed for Nigerian SMEs to set clear expectations, promote accountability, and ensure workplace order. It can be customized to fit any industry. All sections below are editable and practical.</w:t>
      </w:r>
    </w:p>
    <w:p w:rsidR="002F477B" w:rsidRPr="00E557F4" w:rsidRDefault="00E557F4" w:rsidP="00E557F4">
      <w:pPr>
        <w:spacing w:line="360" w:lineRule="auto"/>
        <w:jc w:val="both"/>
        <w:rPr>
          <w:rFonts w:ascii="Trebuchet MS" w:hAnsi="Trebuchet MS"/>
          <w:sz w:val="24"/>
          <w:szCs w:val="24"/>
        </w:rPr>
      </w:pPr>
      <w:r w:rsidRPr="00E557F4">
        <w:rPr>
          <w:rFonts w:ascii="Trebuchet MS" w:hAnsi="Trebuchet MS"/>
          <w:sz w:val="24"/>
          <w:szCs w:val="24"/>
        </w:rPr>
        <w:t>1.</w:t>
      </w:r>
      <w:r>
        <w:rPr>
          <w:rFonts w:ascii="Trebuchet MS" w:hAnsi="Trebuchet MS"/>
          <w:sz w:val="24"/>
          <w:szCs w:val="24"/>
        </w:rPr>
        <w:tab/>
      </w:r>
      <w:r w:rsidRPr="00E557F4">
        <w:rPr>
          <w:rFonts w:ascii="Trebuchet MS" w:hAnsi="Trebuchet MS"/>
          <w:sz w:val="24"/>
          <w:szCs w:val="24"/>
        </w:rPr>
        <w:t>Code of Conduct</w:t>
      </w:r>
      <w:bookmarkStart w:id="0" w:name="_GoBack"/>
      <w:bookmarkEnd w:id="0"/>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Outlines expected behavior in the workplace, including respect, punctuality, dress code, and communication guidelines.</w:t>
      </w:r>
    </w:p>
    <w:p w:rsidR="002F477B" w:rsidRPr="00E557F4" w:rsidRDefault="00E557F4" w:rsidP="00E557F4">
      <w:pPr>
        <w:spacing w:line="360" w:lineRule="auto"/>
        <w:jc w:val="both"/>
        <w:rPr>
          <w:rFonts w:ascii="Trebuchet MS" w:hAnsi="Trebuchet MS"/>
          <w:sz w:val="24"/>
          <w:szCs w:val="24"/>
        </w:rPr>
      </w:pPr>
      <w:r>
        <w:rPr>
          <w:rFonts w:ascii="Trebuchet MS" w:hAnsi="Trebuchet MS"/>
          <w:sz w:val="24"/>
          <w:szCs w:val="24"/>
        </w:rPr>
        <w:t>2.</w:t>
      </w:r>
      <w:r>
        <w:rPr>
          <w:rFonts w:ascii="Trebuchet MS" w:hAnsi="Trebuchet MS"/>
          <w:sz w:val="24"/>
          <w:szCs w:val="24"/>
        </w:rPr>
        <w:tab/>
      </w:r>
      <w:r w:rsidRPr="00E557F4">
        <w:rPr>
          <w:rFonts w:ascii="Trebuchet MS" w:hAnsi="Trebuchet MS"/>
          <w:sz w:val="24"/>
          <w:szCs w:val="24"/>
        </w:rPr>
        <w:t>Working Hours &amp; Attendance</w:t>
      </w:r>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Defines official working hours, break periods, late arrivals, absences, and procedures for</w:t>
      </w:r>
      <w:r w:rsidRPr="00E557F4">
        <w:rPr>
          <w:rFonts w:ascii="Trebuchet MS" w:hAnsi="Trebuchet MS"/>
          <w:sz w:val="24"/>
          <w:szCs w:val="24"/>
        </w:rPr>
        <w:t xml:space="preserve"> requesting time off.</w:t>
      </w:r>
    </w:p>
    <w:p w:rsidR="002F477B" w:rsidRPr="00E557F4" w:rsidRDefault="00E557F4" w:rsidP="00E557F4">
      <w:pPr>
        <w:spacing w:line="360" w:lineRule="auto"/>
        <w:jc w:val="both"/>
        <w:rPr>
          <w:rFonts w:ascii="Trebuchet MS" w:hAnsi="Trebuchet MS"/>
          <w:sz w:val="24"/>
          <w:szCs w:val="24"/>
        </w:rPr>
      </w:pPr>
      <w:r>
        <w:rPr>
          <w:rFonts w:ascii="Trebuchet MS" w:hAnsi="Trebuchet MS"/>
          <w:sz w:val="24"/>
          <w:szCs w:val="24"/>
        </w:rPr>
        <w:t>3.</w:t>
      </w:r>
      <w:r>
        <w:rPr>
          <w:rFonts w:ascii="Trebuchet MS" w:hAnsi="Trebuchet MS"/>
          <w:sz w:val="24"/>
          <w:szCs w:val="24"/>
        </w:rPr>
        <w:tab/>
      </w:r>
      <w:r w:rsidRPr="00E557F4">
        <w:rPr>
          <w:rFonts w:ascii="Trebuchet MS" w:hAnsi="Trebuchet MS"/>
          <w:sz w:val="24"/>
          <w:szCs w:val="24"/>
        </w:rPr>
        <w:t>Leave Policy</w:t>
      </w:r>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Explains types of leave (annual, sick, maternity/paternity), leave eligibility, and application/approval processes.</w:t>
      </w:r>
    </w:p>
    <w:p w:rsidR="002F477B" w:rsidRPr="00E557F4" w:rsidRDefault="00E557F4" w:rsidP="00E557F4">
      <w:pPr>
        <w:spacing w:line="360" w:lineRule="auto"/>
        <w:jc w:val="both"/>
        <w:rPr>
          <w:rFonts w:ascii="Trebuchet MS" w:hAnsi="Trebuchet MS"/>
          <w:sz w:val="24"/>
          <w:szCs w:val="24"/>
        </w:rPr>
      </w:pPr>
      <w:r>
        <w:rPr>
          <w:rFonts w:ascii="Trebuchet MS" w:hAnsi="Trebuchet MS"/>
          <w:sz w:val="24"/>
          <w:szCs w:val="24"/>
        </w:rPr>
        <w:t>4.</w:t>
      </w:r>
      <w:r>
        <w:rPr>
          <w:rFonts w:ascii="Trebuchet MS" w:hAnsi="Trebuchet MS"/>
          <w:sz w:val="24"/>
          <w:szCs w:val="24"/>
        </w:rPr>
        <w:tab/>
      </w:r>
      <w:r w:rsidRPr="00E557F4">
        <w:rPr>
          <w:rFonts w:ascii="Trebuchet MS" w:hAnsi="Trebuchet MS"/>
          <w:sz w:val="24"/>
          <w:szCs w:val="24"/>
        </w:rPr>
        <w:t>Performance &amp; Appraisal</w:t>
      </w:r>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Covers performance review periods, evaluation criteria, promotion considera</w:t>
      </w:r>
      <w:r w:rsidRPr="00E557F4">
        <w:rPr>
          <w:rFonts w:ascii="Trebuchet MS" w:hAnsi="Trebuchet MS"/>
          <w:sz w:val="24"/>
          <w:szCs w:val="24"/>
        </w:rPr>
        <w:t>tion, and staff development expectations.</w:t>
      </w:r>
    </w:p>
    <w:p w:rsidR="002F477B" w:rsidRPr="00E557F4" w:rsidRDefault="00E557F4" w:rsidP="00E557F4">
      <w:pPr>
        <w:spacing w:line="360" w:lineRule="auto"/>
        <w:jc w:val="both"/>
        <w:rPr>
          <w:rFonts w:ascii="Trebuchet MS" w:hAnsi="Trebuchet MS"/>
          <w:sz w:val="24"/>
          <w:szCs w:val="24"/>
        </w:rPr>
      </w:pPr>
      <w:r>
        <w:rPr>
          <w:rFonts w:ascii="Trebuchet MS" w:hAnsi="Trebuchet MS"/>
          <w:sz w:val="24"/>
          <w:szCs w:val="24"/>
        </w:rPr>
        <w:t>5.</w:t>
      </w:r>
      <w:r>
        <w:rPr>
          <w:rFonts w:ascii="Trebuchet MS" w:hAnsi="Trebuchet MS"/>
          <w:sz w:val="24"/>
          <w:szCs w:val="24"/>
        </w:rPr>
        <w:tab/>
      </w:r>
      <w:r w:rsidRPr="00E557F4">
        <w:rPr>
          <w:rFonts w:ascii="Trebuchet MS" w:hAnsi="Trebuchet MS"/>
          <w:sz w:val="24"/>
          <w:szCs w:val="24"/>
        </w:rPr>
        <w:t>Disciplinary Measures</w:t>
      </w:r>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Lists offenses (minor and major), consequences, warning procedures, and termination grounds.</w:t>
      </w:r>
    </w:p>
    <w:p w:rsidR="002F477B" w:rsidRPr="00E557F4" w:rsidRDefault="00E557F4" w:rsidP="00E557F4">
      <w:pPr>
        <w:spacing w:line="360" w:lineRule="auto"/>
        <w:jc w:val="both"/>
        <w:rPr>
          <w:rFonts w:ascii="Trebuchet MS" w:hAnsi="Trebuchet MS"/>
          <w:sz w:val="24"/>
          <w:szCs w:val="24"/>
        </w:rPr>
      </w:pPr>
      <w:r>
        <w:rPr>
          <w:rFonts w:ascii="Trebuchet MS" w:hAnsi="Trebuchet MS"/>
          <w:sz w:val="24"/>
          <w:szCs w:val="24"/>
        </w:rPr>
        <w:t>6.</w:t>
      </w:r>
      <w:r>
        <w:rPr>
          <w:rFonts w:ascii="Trebuchet MS" w:hAnsi="Trebuchet MS"/>
          <w:sz w:val="24"/>
          <w:szCs w:val="24"/>
        </w:rPr>
        <w:tab/>
      </w:r>
      <w:r w:rsidRPr="00E557F4">
        <w:rPr>
          <w:rFonts w:ascii="Trebuchet MS" w:hAnsi="Trebuchet MS"/>
          <w:sz w:val="24"/>
          <w:szCs w:val="24"/>
        </w:rPr>
        <w:t>Internet &amp; Device Use</w:t>
      </w:r>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 xml:space="preserve">Details responsible use of work devices, internet policy, social media </w:t>
      </w:r>
      <w:r w:rsidRPr="00E557F4">
        <w:rPr>
          <w:rFonts w:ascii="Trebuchet MS" w:hAnsi="Trebuchet MS"/>
          <w:sz w:val="24"/>
          <w:szCs w:val="24"/>
        </w:rPr>
        <w:t>behavior, and data protection rules.</w:t>
      </w:r>
    </w:p>
    <w:p w:rsidR="002F477B" w:rsidRPr="00E557F4" w:rsidRDefault="00E557F4" w:rsidP="00E557F4">
      <w:pPr>
        <w:spacing w:line="360" w:lineRule="auto"/>
        <w:jc w:val="both"/>
        <w:rPr>
          <w:rFonts w:ascii="Trebuchet MS" w:hAnsi="Trebuchet MS"/>
          <w:sz w:val="24"/>
          <w:szCs w:val="24"/>
        </w:rPr>
      </w:pPr>
      <w:r>
        <w:rPr>
          <w:rFonts w:ascii="Trebuchet MS" w:hAnsi="Trebuchet MS"/>
          <w:sz w:val="24"/>
          <w:szCs w:val="24"/>
        </w:rPr>
        <w:t>7.</w:t>
      </w:r>
      <w:r>
        <w:rPr>
          <w:rFonts w:ascii="Trebuchet MS" w:hAnsi="Trebuchet MS"/>
          <w:sz w:val="24"/>
          <w:szCs w:val="24"/>
        </w:rPr>
        <w:tab/>
      </w:r>
      <w:r w:rsidRPr="00E557F4">
        <w:rPr>
          <w:rFonts w:ascii="Trebuchet MS" w:hAnsi="Trebuchet MS"/>
          <w:sz w:val="24"/>
          <w:szCs w:val="24"/>
        </w:rPr>
        <w:t>Remote Work &amp; Flexibility</w:t>
      </w:r>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Outlines conditions for remote work, working hours, expected output, and supervisor reporting.</w:t>
      </w:r>
    </w:p>
    <w:p w:rsidR="002F477B" w:rsidRPr="00E557F4" w:rsidRDefault="00E557F4" w:rsidP="00E557F4">
      <w:pPr>
        <w:spacing w:line="360" w:lineRule="auto"/>
        <w:jc w:val="both"/>
        <w:rPr>
          <w:rFonts w:ascii="Trebuchet MS" w:hAnsi="Trebuchet MS"/>
          <w:sz w:val="24"/>
          <w:szCs w:val="24"/>
        </w:rPr>
      </w:pPr>
      <w:r>
        <w:rPr>
          <w:rFonts w:ascii="Trebuchet MS" w:hAnsi="Trebuchet MS"/>
          <w:sz w:val="24"/>
          <w:szCs w:val="24"/>
        </w:rPr>
        <w:lastRenderedPageBreak/>
        <w:t>8.</w:t>
      </w:r>
      <w:r>
        <w:rPr>
          <w:rFonts w:ascii="Trebuchet MS" w:hAnsi="Trebuchet MS"/>
          <w:sz w:val="24"/>
          <w:szCs w:val="24"/>
        </w:rPr>
        <w:tab/>
      </w:r>
      <w:r w:rsidRPr="00E557F4">
        <w:rPr>
          <w:rFonts w:ascii="Trebuchet MS" w:hAnsi="Trebuchet MS"/>
          <w:sz w:val="24"/>
          <w:szCs w:val="24"/>
        </w:rPr>
        <w:t>Confidentiality &amp; IP Protection</w:t>
      </w:r>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Covers rules on non-disclosure, internal information protect</w:t>
      </w:r>
      <w:r w:rsidRPr="00E557F4">
        <w:rPr>
          <w:rFonts w:ascii="Trebuchet MS" w:hAnsi="Trebuchet MS"/>
          <w:sz w:val="24"/>
          <w:szCs w:val="24"/>
        </w:rPr>
        <w:t>ion, and safeguarding client data or company IP.</w:t>
      </w:r>
    </w:p>
    <w:p w:rsidR="002F477B" w:rsidRPr="00E557F4" w:rsidRDefault="00E557F4" w:rsidP="00E557F4">
      <w:pPr>
        <w:spacing w:line="360" w:lineRule="auto"/>
        <w:jc w:val="both"/>
        <w:rPr>
          <w:rFonts w:ascii="Trebuchet MS" w:hAnsi="Trebuchet MS"/>
          <w:sz w:val="24"/>
          <w:szCs w:val="24"/>
        </w:rPr>
      </w:pPr>
      <w:r>
        <w:rPr>
          <w:rFonts w:ascii="Trebuchet MS" w:hAnsi="Trebuchet MS"/>
          <w:sz w:val="24"/>
          <w:szCs w:val="24"/>
        </w:rPr>
        <w:t>9.</w:t>
      </w:r>
      <w:r>
        <w:rPr>
          <w:rFonts w:ascii="Trebuchet MS" w:hAnsi="Trebuchet MS"/>
          <w:sz w:val="24"/>
          <w:szCs w:val="24"/>
        </w:rPr>
        <w:tab/>
      </w:r>
      <w:r w:rsidRPr="00E557F4">
        <w:rPr>
          <w:rFonts w:ascii="Trebuchet MS" w:hAnsi="Trebuchet MS"/>
          <w:sz w:val="24"/>
          <w:szCs w:val="24"/>
        </w:rPr>
        <w:t>Workplace Safety</w:t>
      </w:r>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Describes safety precautions, emergency procedures, reporting hazards, and maintaining a secure environment.</w:t>
      </w:r>
    </w:p>
    <w:p w:rsidR="002F477B" w:rsidRPr="00E557F4" w:rsidRDefault="00E557F4" w:rsidP="00E557F4">
      <w:pPr>
        <w:spacing w:line="360" w:lineRule="auto"/>
        <w:jc w:val="both"/>
        <w:rPr>
          <w:rFonts w:ascii="Trebuchet MS" w:hAnsi="Trebuchet MS"/>
          <w:sz w:val="24"/>
          <w:szCs w:val="24"/>
        </w:rPr>
      </w:pPr>
      <w:r>
        <w:rPr>
          <w:rFonts w:ascii="Trebuchet MS" w:hAnsi="Trebuchet MS"/>
          <w:sz w:val="24"/>
          <w:szCs w:val="24"/>
        </w:rPr>
        <w:t>10.</w:t>
      </w:r>
      <w:r>
        <w:rPr>
          <w:rFonts w:ascii="Trebuchet MS" w:hAnsi="Trebuchet MS"/>
          <w:sz w:val="24"/>
          <w:szCs w:val="24"/>
        </w:rPr>
        <w:tab/>
      </w:r>
      <w:r w:rsidRPr="00E557F4">
        <w:rPr>
          <w:rFonts w:ascii="Trebuchet MS" w:hAnsi="Trebuchet MS"/>
          <w:sz w:val="24"/>
          <w:szCs w:val="24"/>
        </w:rPr>
        <w:t>Anti-Harassment &amp; Discrimination</w:t>
      </w:r>
    </w:p>
    <w:p w:rsidR="002F477B" w:rsidRPr="00E557F4" w:rsidRDefault="00E557F4" w:rsidP="00E557F4">
      <w:pPr>
        <w:spacing w:line="360" w:lineRule="auto"/>
        <w:ind w:left="720"/>
        <w:jc w:val="both"/>
        <w:rPr>
          <w:rFonts w:ascii="Trebuchet MS" w:hAnsi="Trebuchet MS"/>
          <w:sz w:val="24"/>
          <w:szCs w:val="24"/>
        </w:rPr>
      </w:pPr>
      <w:r w:rsidRPr="00E557F4">
        <w:rPr>
          <w:rFonts w:ascii="Trebuchet MS" w:hAnsi="Trebuchet MS"/>
          <w:sz w:val="24"/>
          <w:szCs w:val="24"/>
        </w:rPr>
        <w:t>Ensures a harassment-free workplace, defi</w:t>
      </w:r>
      <w:r w:rsidRPr="00E557F4">
        <w:rPr>
          <w:rFonts w:ascii="Trebuchet MS" w:hAnsi="Trebuchet MS"/>
          <w:sz w:val="24"/>
          <w:szCs w:val="24"/>
        </w:rPr>
        <w:t>nes unacceptable behaviors, and complaint-handling mechanisms.</w:t>
      </w:r>
    </w:p>
    <w:sectPr w:rsidR="002F477B" w:rsidRPr="00E557F4" w:rsidSect="00034616">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2F477B"/>
    <w:rsid w:val="00326F90"/>
    <w:rsid w:val="00AA1D8D"/>
    <w:rsid w:val="00B47730"/>
    <w:rsid w:val="00CB0664"/>
    <w:rsid w:val="00E557F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188BE4"/>
  <w14:defaultImageDpi w14:val="300"/>
  <w15:docId w15:val="{D88B3049-84C4-4869-BBB2-D30BA0D86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DD52A-1718-44DF-BFB1-D299444E3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3</cp:revision>
  <dcterms:created xsi:type="dcterms:W3CDTF">2013-12-23T23:15:00Z</dcterms:created>
  <dcterms:modified xsi:type="dcterms:W3CDTF">2025-06-02T05:48:00Z</dcterms:modified>
  <cp:category/>
</cp:coreProperties>
</file>